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Report from UNU Conversation Series on Nov.9,2023</w:t>
      </w:r>
    </w:p>
    <w:p>
      <w:pPr>
        <w:rPr>
          <w:rFonts w:hint="eastAsia"/>
          <w:b/>
          <w:bCs/>
          <w:sz w:val="24"/>
          <w:szCs w:val="24"/>
          <w:lang w:val="en-US" w:eastAsia="ja-JP"/>
        </w:rPr>
      </w:pPr>
      <w:r>
        <w:rPr>
          <w:rFonts w:hint="eastAsia"/>
          <w:b/>
          <w:bCs/>
          <w:sz w:val="24"/>
          <w:szCs w:val="24"/>
          <w:lang w:val="en-US" w:eastAsia="ja-JP"/>
        </w:rPr>
        <w:t xml:space="preserve">Title: </w:t>
      </w:r>
      <w:r>
        <w:rPr>
          <w:rFonts w:hint="default"/>
          <w:b/>
          <w:bCs/>
          <w:sz w:val="24"/>
          <w:szCs w:val="24"/>
          <w:lang w:val="en-US" w:eastAsia="ja-JP"/>
        </w:rPr>
        <w:t>“”</w:t>
      </w:r>
      <w:r>
        <w:rPr>
          <w:rFonts w:hint="eastAsia"/>
          <w:b/>
          <w:bCs/>
          <w:sz w:val="24"/>
          <w:szCs w:val="24"/>
          <w:lang w:val="en-US" w:eastAsia="ja-JP"/>
        </w:rPr>
        <w:t>Global Crises and United Nominations Response and Innovations: Lessons Learned, Challenges and Prospects</w:t>
      </w:r>
      <w:r>
        <w:rPr>
          <w:rFonts w:hint="default"/>
          <w:b/>
          <w:bCs/>
          <w:sz w:val="24"/>
          <w:szCs w:val="24"/>
          <w:lang w:val="en-US" w:eastAsia="ja-JP"/>
        </w:rPr>
        <w:t>”</w:t>
      </w:r>
      <w:r>
        <w:rPr>
          <w:rFonts w:hint="eastAsia"/>
          <w:b/>
          <w:bCs/>
          <w:sz w:val="24"/>
          <w:szCs w:val="24"/>
          <w:lang w:val="en-US" w:eastAsia="ja-JP"/>
        </w:rPr>
        <w:t>, with Prof. Ibrahim  Gambari</w:t>
      </w:r>
    </w:p>
    <w:p>
      <w:pPr>
        <w:rPr>
          <w:rFonts w:hint="eastAsia"/>
          <w:b/>
          <w:bCs/>
          <w:sz w:val="28"/>
          <w:szCs w:val="28"/>
          <w:lang w:val="en-US" w:eastAsia="ja-JP"/>
        </w:rPr>
      </w:pPr>
    </w:p>
    <w:p>
      <w:pPr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919730" cy="2523490"/>
            <wp:effectExtent l="0" t="0" r="13970" b="10160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eastAsia="ＭＳ 明朝" w:cs="SimSun"/>
          <w:sz w:val="24"/>
          <w:szCs w:val="24"/>
          <w:lang w:eastAsia="ja-JP"/>
        </w:rPr>
        <w:t>　　　　　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913380" cy="2513965"/>
            <wp:effectExtent l="0" t="0" r="1270" b="635"/>
            <wp:docPr id="5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51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Prof. Ibrahim Gambari                 Prof. Shinobu Ymaguchi  国連大学</w:t>
      </w:r>
    </w:p>
    <w:p>
      <w:p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ナイジェリアのフラニ（支配層）の出身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 xml:space="preserve">Lecture of Yesterday was unusually warm and friendly atmosphere with many many jokes. This morning, I checked his background by internet then I understood no wonder the reaction of guest that night. I felt the spirit of remarkable </w:t>
      </w:r>
      <w:r>
        <w:rPr>
          <w:rFonts w:hint="default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resiliency</w:t>
      </w:r>
      <w:r>
        <w:rPr>
          <w:rFonts w:hint="default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 xml:space="preserve"> in general. I summarized its key message into next 3 points.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UN is now facing two fronts. One is outside; Ukraine, Israel  and those impacts. The other is inside which is structural functional problem.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（今、国連は内外に問題を抱えている。）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We can see the the power of resilience which comes from learning 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“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experience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.</w:t>
      </w: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He talked about the case of Rwanda(Pref. Yamaguchi was in Rwanda just after Rwandan genocide) and Tanzania (one of the guest was from Tanzanian embassy). Both of the case shows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 the power of resilient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. Now those victims became great leaders for peace building.（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過去の犠牲者の平和構築の指導者の育てることに成功している。ルワンダとタンザニアのケース。）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What we can do ?   Keep making effective 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“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Pressure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 fro multi-skilling way.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（多角的で効果的なプレッシャーを、問題の原因にかけ続けること。）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　　　　　以上です。　　　　　　　　　　　　　　　　　　　　　　Kyoko Kumada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374CA"/>
    <w:multiLevelType w:val="singleLevel"/>
    <w:tmpl w:val="3BE374CA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330CB"/>
    <w:rsid w:val="16A330CB"/>
    <w:rsid w:val="1DF76FB6"/>
    <w:rsid w:val="59FB09D8"/>
    <w:rsid w:val="6CAB2863"/>
    <w:rsid w:val="6F54770E"/>
    <w:rsid w:val="758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2023-11-10T01:33:00Z</dcterms:created>
  <dc:creator>user</dc:creator>
  <cp:lastModifiedBy>user</cp:lastModifiedBy>
  <dcterms:modified xsi:type="dcterms:W3CDTF">2023-11-10T03:25:01Z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